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C2A" w:rsidRDefault="00896C2A">
      <w:pPr>
        <w:pStyle w:val="a4"/>
        <w:kinsoku w:val="0"/>
        <w:spacing w:before="0"/>
        <w:ind w:leftChars="700" w:left="2381" w:firstLine="0"/>
        <w:rPr>
          <w:bCs/>
          <w:snapToGrid/>
          <w:kern w:val="0"/>
          <w:sz w:val="40"/>
        </w:rPr>
      </w:pPr>
      <w:r>
        <w:rPr>
          <w:rFonts w:hint="eastAsia"/>
          <w:bCs/>
          <w:snapToGrid/>
          <w:spacing w:val="200"/>
          <w:kern w:val="0"/>
          <w:sz w:val="40"/>
        </w:rPr>
        <w:t>糾正案文</w:t>
      </w:r>
    </w:p>
    <w:p w:rsidR="00896C2A" w:rsidRDefault="00896C2A">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6619B8">
        <w:rPr>
          <w:rFonts w:hAnsi="標楷體" w:hint="eastAsia"/>
          <w:color w:val="000000"/>
        </w:rPr>
        <w:t>行政院</w:t>
      </w:r>
      <w:r>
        <w:rPr>
          <w:rFonts w:hint="eastAsia"/>
        </w:rPr>
        <w:t>。</w:t>
      </w:r>
    </w:p>
    <w:p w:rsidR="00896C2A" w:rsidRDefault="00896C2A" w:rsidP="00D932A1">
      <w:pPr>
        <w:pStyle w:val="1"/>
        <w:tabs>
          <w:tab w:val="left" w:pos="3119"/>
        </w:tabs>
        <w:ind w:left="2721" w:hanging="2721"/>
      </w:pPr>
      <w:bookmarkStart w:id="14" w:name="_Toc529218255"/>
      <w:bookmarkStart w:id="15" w:name="_Toc529222678"/>
      <w:bookmarkStart w:id="16" w:name="_Toc529223100"/>
      <w:bookmarkStart w:id="17" w:name="_Toc529223851"/>
      <w:bookmarkStart w:id="18" w:name="_Toc529228247"/>
      <w:r>
        <w:rPr>
          <w:rFonts w:hint="eastAsia"/>
        </w:rPr>
        <w:t>案　　　由：</w:t>
      </w:r>
      <w:r w:rsidR="006619B8" w:rsidRPr="006619B8">
        <w:rPr>
          <w:rFonts w:hAnsi="標楷體" w:hint="eastAsia"/>
          <w:color w:val="000000"/>
        </w:rPr>
        <w:t>內政部遵循行政院所確立的政策，於</w:t>
      </w:r>
      <w:r w:rsidR="006619B8">
        <w:rPr>
          <w:rFonts w:hAnsi="標楷體" w:hint="eastAsia"/>
          <w:color w:val="000000"/>
        </w:rPr>
        <w:t>「</w:t>
      </w:r>
      <w:r w:rsidR="006619B8" w:rsidRPr="00513124">
        <w:rPr>
          <w:rFonts w:hint="eastAsia"/>
        </w:rPr>
        <w:t>機場捷運沿線站區周邊土地開發－A7站區開發案興辦事業計畫」</w:t>
      </w:r>
      <w:r w:rsidR="006619B8" w:rsidRPr="006619B8">
        <w:rPr>
          <w:rFonts w:hAnsi="標楷體" w:hint="eastAsia"/>
          <w:color w:val="000000"/>
        </w:rPr>
        <w:t>之都市計畫變更案通過後尚未徵收前，即預為標售計畫區內「產業專用區」與「合宜住宅」用地，</w:t>
      </w:r>
      <w:r w:rsidR="00B60BFF" w:rsidRPr="00C655F5">
        <w:rPr>
          <w:rFonts w:hint="eastAsia"/>
          <w:bCs w:val="0"/>
        </w:rPr>
        <w:t>並無法令依據，實有違先徵收後標售之正常程序，引發民怨，也有違憲法保障人民基本權利之虞，核有違失</w:t>
      </w:r>
      <w:r w:rsidR="00B60BFF">
        <w:rPr>
          <w:rFonts w:hint="eastAsia"/>
          <w:bCs w:val="0"/>
        </w:rPr>
        <w:t>，</w:t>
      </w:r>
      <w:r w:rsidR="005F2B5E" w:rsidRPr="005F2B5E">
        <w:rPr>
          <w:rFonts w:hint="eastAsia"/>
        </w:rPr>
        <w:t>爰依</w:t>
      </w:r>
      <w:r w:rsidR="00BE01F6">
        <w:rPr>
          <w:rFonts w:hint="eastAsia"/>
        </w:rPr>
        <w:t>法</w:t>
      </w:r>
      <w:r w:rsidR="005F2B5E" w:rsidRPr="005F2B5E">
        <w:rPr>
          <w:rFonts w:hint="eastAsia"/>
        </w:rPr>
        <w:t>提案糾正</w:t>
      </w:r>
      <w:r w:rsidR="00730A89">
        <w:rPr>
          <w:rFonts w:hint="eastAsia"/>
          <w:noProof/>
          <w:color w:val="000000"/>
        </w:rPr>
        <w:t>。</w:t>
      </w:r>
      <w:bookmarkEnd w:id="14"/>
      <w:bookmarkEnd w:id="15"/>
      <w:bookmarkEnd w:id="16"/>
      <w:bookmarkEnd w:id="17"/>
      <w:bookmarkEnd w:id="18"/>
    </w:p>
    <w:p w:rsidR="00896C2A" w:rsidRDefault="00896C2A">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896C2A" w:rsidRDefault="006619B8" w:rsidP="00C55463">
      <w:pPr>
        <w:pStyle w:val="11"/>
        <w:ind w:left="680" w:firstLine="680"/>
        <w:rPr>
          <w:bCs/>
        </w:rPr>
      </w:pPr>
      <w:r w:rsidRPr="006619B8">
        <w:rPr>
          <w:rFonts w:hAnsi="標楷體" w:hint="eastAsia"/>
          <w:color w:val="000000"/>
        </w:rPr>
        <w:t>據訴：渠等所有坐落桃園縣龜山鄉樂善村之土地，遭</w:t>
      </w:r>
      <w:r w:rsidR="005B1BB8" w:rsidRPr="006619B8">
        <w:rPr>
          <w:rFonts w:hAnsi="標楷體" w:hint="eastAsia"/>
          <w:color w:val="000000"/>
        </w:rPr>
        <w:t>內政部規劃</w:t>
      </w:r>
      <w:r w:rsidR="005B1BB8">
        <w:rPr>
          <w:rFonts w:hAnsi="標楷體" w:hint="eastAsia"/>
          <w:color w:val="000000"/>
        </w:rPr>
        <w:t>作為「</w:t>
      </w:r>
      <w:r w:rsidR="005B1BB8" w:rsidRPr="00513124">
        <w:rPr>
          <w:rFonts w:hint="eastAsia"/>
        </w:rPr>
        <w:t>機場捷運沿線站區周邊土地開發－A7站區開發案興辦事業計畫」</w:t>
      </w:r>
      <w:r w:rsidR="005B1BB8">
        <w:rPr>
          <w:rFonts w:hint="eastAsia"/>
        </w:rPr>
        <w:t>（下稱系爭計畫）用地，</w:t>
      </w:r>
      <w:r w:rsidRPr="006619B8">
        <w:rPr>
          <w:rFonts w:hAnsi="標楷體" w:hint="eastAsia"/>
          <w:color w:val="000000"/>
        </w:rPr>
        <w:t>採「預標售」方式，於未辦理徵收前即預先標售給財團，並強行以區段徵收方式開發</w:t>
      </w:r>
      <w:r w:rsidR="0092689E" w:rsidRPr="00E32048">
        <w:rPr>
          <w:rFonts w:hint="eastAsia"/>
        </w:rPr>
        <w:t>「產業專用區」與「合宜住宅」</w:t>
      </w:r>
      <w:r w:rsidRPr="006619B8">
        <w:rPr>
          <w:rFonts w:hAnsi="標楷體" w:hint="eastAsia"/>
          <w:color w:val="000000"/>
        </w:rPr>
        <w:t>，侵害渠等財產權益等情乙案</w:t>
      </w:r>
      <w:r w:rsidR="00081C97" w:rsidRPr="00081C97">
        <w:rPr>
          <w:rFonts w:hint="eastAsia"/>
        </w:rPr>
        <w:t>，業</w:t>
      </w:r>
      <w:r w:rsidR="004F2107">
        <w:rPr>
          <w:rFonts w:hint="eastAsia"/>
          <w:bCs/>
        </w:rPr>
        <w:t>經本院調查竣事，茲就調查發現違失</w:t>
      </w:r>
      <w:r w:rsidR="004A1F08">
        <w:rPr>
          <w:rFonts w:hint="eastAsia"/>
          <w:bCs/>
        </w:rPr>
        <w:t>之</w:t>
      </w:r>
      <w:r w:rsidR="004A1F08">
        <w:rPr>
          <w:rFonts w:hint="eastAsia"/>
        </w:rPr>
        <w:t>事實與理由</w:t>
      </w:r>
      <w:r w:rsidR="004F2107">
        <w:rPr>
          <w:rFonts w:hint="eastAsia"/>
          <w:bCs/>
        </w:rPr>
        <w:t>臚列如下：</w:t>
      </w:r>
      <w:bookmarkStart w:id="33" w:name="_Toc525070834"/>
      <w:bookmarkStart w:id="34" w:name="_Toc525938374"/>
      <w:bookmarkStart w:id="35" w:name="_Toc525939222"/>
      <w:bookmarkStart w:id="36" w:name="_Toc525939727"/>
      <w:bookmarkStart w:id="37" w:name="_Toc525066144"/>
      <w:bookmarkStart w:id="38" w:name="_Toc524892372"/>
    </w:p>
    <w:bookmarkEnd w:id="33"/>
    <w:bookmarkEnd w:id="34"/>
    <w:bookmarkEnd w:id="35"/>
    <w:bookmarkEnd w:id="36"/>
    <w:p w:rsidR="00E32048" w:rsidRPr="00E32048" w:rsidRDefault="00E32048" w:rsidP="00E32048">
      <w:pPr>
        <w:pStyle w:val="2"/>
      </w:pPr>
      <w:r w:rsidRPr="00E32048">
        <w:rPr>
          <w:rFonts w:hint="eastAsia"/>
        </w:rPr>
        <w:t>按土地徵收乃國家因興辦公共事業或實施國家經濟政策之需要，依法定程序，強制取得私人土地權利之公權力行為，該項行為之實施，將嚴重剝奪人民的財產權，甚至影響生存權及工作權。因此，政府機關發動「徵收權」時，</w:t>
      </w:r>
      <w:r w:rsidR="004F51A4" w:rsidRPr="00AF3BC8">
        <w:rPr>
          <w:rFonts w:hint="eastAsia"/>
        </w:rPr>
        <w:t>除應依法行政及嚴守徵收之</w:t>
      </w:r>
      <w:r w:rsidR="004F51A4">
        <w:rPr>
          <w:rFonts w:hint="eastAsia"/>
        </w:rPr>
        <w:t>一般正常</w:t>
      </w:r>
      <w:r w:rsidR="004F51A4" w:rsidRPr="00AF3BC8">
        <w:rPr>
          <w:rFonts w:hint="eastAsia"/>
        </w:rPr>
        <w:t>程序外，所採取之行政行為，更應避免損及憲法保障人民基本權利之精神。</w:t>
      </w:r>
      <w:r w:rsidRPr="00E32048">
        <w:rPr>
          <w:rFonts w:hint="eastAsia"/>
        </w:rPr>
        <w:t>司法院大法官釋字第513號解釋：「各級政府所為土地之使用或徵收，自應符合已確定之都市計畫，若為增進公共利益之需要，固得徵收都市計畫區域內之土地，惟因其涉及對人民財產權之剝奪，應嚴守法定徵收土地之要件、踐行其程序，</w:t>
      </w:r>
      <w:r w:rsidRPr="00E32048">
        <w:rPr>
          <w:rFonts w:hint="eastAsia"/>
        </w:rPr>
        <w:lastRenderedPageBreak/>
        <w:t>並遵照都市計畫法之相關規定。」可資參照。</w:t>
      </w:r>
    </w:p>
    <w:p w:rsidR="00E32048" w:rsidRPr="00E32048" w:rsidRDefault="00E32048" w:rsidP="00E32048">
      <w:pPr>
        <w:pStyle w:val="2"/>
      </w:pPr>
      <w:r w:rsidRPr="00E32048">
        <w:rPr>
          <w:rFonts w:hint="eastAsia"/>
        </w:rPr>
        <w:t>內政部於100年2月15日系爭計畫之都市計畫變更案通過後，即於100年4月28日辦理「合宜住宅」用地公告招標，共計4個標（A、B、C、D基地標售土地面積總計</w:t>
      </w:r>
      <w:r w:rsidR="00822E6F">
        <w:rPr>
          <w:rFonts w:hint="eastAsia"/>
        </w:rPr>
        <w:t>約</w:t>
      </w:r>
      <w:r w:rsidRPr="00E32048">
        <w:rPr>
          <w:rFonts w:hint="eastAsia"/>
        </w:rPr>
        <w:t>為9.8</w:t>
      </w:r>
      <w:r w:rsidR="00822E6F">
        <w:rPr>
          <w:rFonts w:hint="eastAsia"/>
        </w:rPr>
        <w:t>2</w:t>
      </w:r>
      <w:r w:rsidRPr="00E32048">
        <w:rPr>
          <w:rFonts w:hint="eastAsia"/>
        </w:rPr>
        <w:t>公頃），並於同年7月8日開標及12月15日辦理決標，101年1月10日完成簽約。另「產業專用區」用地則於100年6月2日辦理第1次公開招標，惟因截至投標日止無人投標而流標，再於同年11月30日重新招標</w:t>
      </w:r>
      <w:r w:rsidR="00D04E9B">
        <w:rPr>
          <w:rFonts w:hint="eastAsia"/>
        </w:rPr>
        <w:t>（</w:t>
      </w:r>
      <w:r w:rsidR="00D04E9B" w:rsidRPr="00440976">
        <w:rPr>
          <w:rFonts w:hint="eastAsia"/>
        </w:rPr>
        <w:t>分為A、B兩塊基地，A標為22.23公頃，B標為19.40公頃</w:t>
      </w:r>
      <w:r w:rsidR="00D04E9B">
        <w:rPr>
          <w:rFonts w:hint="eastAsia"/>
        </w:rPr>
        <w:t>）</w:t>
      </w:r>
      <w:r w:rsidRPr="00E32048">
        <w:rPr>
          <w:rFonts w:hint="eastAsia"/>
        </w:rPr>
        <w:t>。101年1月17日開標，同年2月1日決標及4月18日完成簽約</w:t>
      </w:r>
      <w:r w:rsidR="00D04E9B">
        <w:rPr>
          <w:rFonts w:hint="eastAsia"/>
        </w:rPr>
        <w:t>（</w:t>
      </w:r>
      <w:r w:rsidR="00D04E9B" w:rsidRPr="000F2618">
        <w:rPr>
          <w:rFonts w:hint="eastAsia"/>
        </w:rPr>
        <w:t>A標</w:t>
      </w:r>
      <w:r w:rsidR="00D04E9B">
        <w:rPr>
          <w:rFonts w:hint="eastAsia"/>
        </w:rPr>
        <w:t>）</w:t>
      </w:r>
      <w:r w:rsidRPr="00E32048">
        <w:rPr>
          <w:rFonts w:hint="eastAsia"/>
        </w:rPr>
        <w:t>。該「合宜住宅」與「產業專用區」用地，在尚未徵收前（100年6月28、29日召開區段徵收協議價購會議、100年7月27日內政部土地徵收審議委員會審議通過區段徵收計畫書、100年8月8日行政院核定區段徵收計畫書、100年10月7日桃園縣政府辦理土地徵收公告、100年11月9日土地改良物徵收公告、100年11月15日發放土地補償費、100年12月12日發放土地改良物補償費）即先進行標售，詢據內政部表示：「本區因係配合行政院政策所為之開發，若未採以預標售方式辦理，而待全區開發完成後始再進行該等用地之招標作業，恐無法配合行政院要求於民國102年底完成合宜住宅之興建及民國103年捷運完工通車之時機。故一方面為確保未來合宜住宅及產業專用區開發之可行，避免政府投資浪費大量人力及物力，一方面希望合宜住宅與產業專用區皆可配合本區開發時程同步完成興建使用，此舉將有助於本區開發後之發展，對區內選擇領回抵價地之地主亦有莫大之助益。至於該等標售作業均係於徵收公告完成法定程序後始辦理決標及簽約作業，並無損及區內地</w:t>
      </w:r>
      <w:r w:rsidRPr="00E32048">
        <w:rPr>
          <w:rFonts w:hint="eastAsia"/>
        </w:rPr>
        <w:lastRenderedPageBreak/>
        <w:t>主之權益」等語。</w:t>
      </w:r>
    </w:p>
    <w:p w:rsidR="00E32048" w:rsidRPr="00E32048" w:rsidRDefault="00E32048" w:rsidP="00E32048">
      <w:pPr>
        <w:pStyle w:val="2"/>
      </w:pPr>
      <w:r w:rsidRPr="00E32048">
        <w:rPr>
          <w:rFonts w:hint="eastAsia"/>
        </w:rPr>
        <w:t>惟按土地徵收條例第1條第2項明文規定，有關徵收程序、徵收補償標準，應依該條例之規定，其他法律與其牴觸者，優先適用該條例。依該條例第21條第1項、第26條第3項、第40條第3項前段規定 ，被徵收土地或土地改良物之所有權人，對於其土地或土地改良物之權利義務，於應受之補償費發給完竣或繳存專戶保管後，以及申請發給抵價地者，於接到該管直轄市或縣（市）主管機關核定發給抵價地通知後終止，政府於此始取得被徵收土地或土地改良物之所有權。至於區段徵收取得的土地處分之時機，依「區段徵收實施辦法」第2條規定，應於囑託辦理區段徵收土地所有權移轉等相關登記、工程施工、辦理抵價地分配、地籍整理、囑託辦理開發完成後土地所有權登記，始得為之。</w:t>
      </w:r>
    </w:p>
    <w:p w:rsidR="00E32048" w:rsidRPr="00E32048" w:rsidRDefault="00E32048" w:rsidP="00E32048">
      <w:pPr>
        <w:pStyle w:val="2"/>
      </w:pPr>
      <w:r w:rsidRPr="00E32048">
        <w:rPr>
          <w:rFonts w:hint="eastAsia"/>
        </w:rPr>
        <w:t>上開條例與「區段徵收實施辦法」雖未就政府尚未取得被徵收土地所有權前，得否預為標售予以規定，惟並非行政機關即可恣意裁量為之。查我國有關區段徵收之相關法律規定中，僅離島建設條例（89年4月5日公布）第8條第3項後段特別規定，區段徵收範圍確定後，經規劃為因應民間機構投資之土地得預為標售，其他相關法律並無此項規定。上開離島建設條例有關預為標售之規定，應屬土地徵收條例之例外規定，其適用範圍僅限於與臺灣本島隔離而屬我國管轄之島嶼，系爭計畫之區段徵收案並不適用，內政部雖謂「預標售案相關招標文件業載明土地使用權同意書核發及產權移轉等相關事宜，將配合區段徵收進度為之，如未來區段徵收無法辦理時，預標售案將廢標，且該等標售作業均係於徵收公告完成法定程序後始辦理決標及簽約作業，故無損及區內原土地所有權人</w:t>
      </w:r>
      <w:r w:rsidRPr="00E32048">
        <w:rPr>
          <w:rFonts w:hint="eastAsia"/>
        </w:rPr>
        <w:lastRenderedPageBreak/>
        <w:t>之權益。」惟於欠缺法律依據之情形下，即預為標售尚未徵收取得之「合宜住宅」與「產業專用區」用地，縱該項標售行為係屬民法上之債權行為，惟行政機關在達成行政任務時，不能主張私法行為即可脫離正當程序。本案政府為達政策目的，利用私法行為，</w:t>
      </w:r>
      <w:r w:rsidR="00FD5CBD" w:rsidRPr="00FD5CBD">
        <w:rPr>
          <w:rFonts w:hint="eastAsia"/>
        </w:rPr>
        <w:t>規避先徵收後標售之正常程序，</w:t>
      </w:r>
      <w:r w:rsidRPr="00E32048">
        <w:rPr>
          <w:rFonts w:hint="eastAsia"/>
        </w:rPr>
        <w:t>恣意預先標售尚屬人民之財產，未能尊重人民之財產權，導致民眾恐慌與不安，更造成民怨，實非為政之道的根本。</w:t>
      </w:r>
    </w:p>
    <w:p w:rsidR="00E32048" w:rsidRPr="00E32048" w:rsidRDefault="00E32048" w:rsidP="00E32048">
      <w:pPr>
        <w:pStyle w:val="2"/>
      </w:pPr>
      <w:r w:rsidRPr="00E32048">
        <w:rPr>
          <w:rFonts w:hint="eastAsia"/>
        </w:rPr>
        <w:t>此外，政府部門對於國家重大之施政計畫，本應有完整而縝密之規劃，如認系爭計畫中「合宜住宅」、「產業專用區」開發完成興建使用，與機場捷運完工通車之時機配合，將有助於開發後之發展，自應事先妥慎評估，提前進行都市計畫變更與土地徵收作業，而非遽將本應於徵收完成後始得處分之私人土地，提前於徵收程序開始之前進行標售，況內政部於本院約詢時表示，系爭計畫之徵收進度已有延宕，預定「合宜住宅」興建完成日期，最快將延至103年底甚或104年，顯見實際之執行已有落差。而內政部提供都市計畫區面積及人口統計數據，99年底我國都市計畫人口數計25,183,307人，惟現況人口數僅18,407,736人，二者相差近678萬人，可見不少都市計畫人口是虛擬的，或虛胖的，在「計畫」與「現實」之間，存有很大落差，系爭計畫以取得「合宜住宅」用地為由而徵收私有土地，</w:t>
      </w:r>
      <w:r w:rsidR="006E3C38" w:rsidRPr="00C655F5">
        <w:rPr>
          <w:rFonts w:hAnsi="標楷體" w:hint="eastAsia"/>
        </w:rPr>
        <w:t>實已逾越必要程度，也有違</w:t>
      </w:r>
      <w:r w:rsidR="006E3C38" w:rsidRPr="00C655F5">
        <w:rPr>
          <w:rFonts w:hint="eastAsia"/>
          <w:bCs w:val="0"/>
        </w:rPr>
        <w:t>憲法保障人民基本權利之虞</w:t>
      </w:r>
      <w:r w:rsidR="006E3C38" w:rsidRPr="00C655F5">
        <w:rPr>
          <w:rFonts w:hint="eastAsia"/>
        </w:rPr>
        <w:t>。</w:t>
      </w:r>
    </w:p>
    <w:p w:rsidR="00896C2A" w:rsidRPr="00E804AB" w:rsidRDefault="00E32048" w:rsidP="00F33C66">
      <w:pPr>
        <w:pStyle w:val="2"/>
      </w:pPr>
      <w:r w:rsidRPr="00E32048">
        <w:rPr>
          <w:rFonts w:hint="eastAsia"/>
        </w:rPr>
        <w:t>綜上，由於本案係內政部依行政院政策指示，以「預標售」方式辦理區段徵收的首例，具有「領頭羊」的指標意義，行政院縱然有特定政策目的考量，以及為解決區段徵收資金籌措與開發後土地去化等問題，仍應嚴守土地徵收條例規定，於被徵收土地所有權人對</w:t>
      </w:r>
      <w:r w:rsidRPr="00E32048">
        <w:rPr>
          <w:rFonts w:hint="eastAsia"/>
        </w:rPr>
        <w:lastRenderedPageBreak/>
        <w:t>其土地權利義務終止後，再行辦理標售，否則此例一開，今後各級政府機關均會振振有辭，以各種理由，藉機提前進行標售作業，不啻使</w:t>
      </w:r>
      <w:r w:rsidR="00A974EA">
        <w:rPr>
          <w:rFonts w:hint="eastAsia"/>
        </w:rPr>
        <w:t>先</w:t>
      </w:r>
      <w:r w:rsidR="00A974EA" w:rsidRPr="00C655F5">
        <w:rPr>
          <w:rFonts w:hint="eastAsia"/>
        </w:rPr>
        <w:t>徵收</w:t>
      </w:r>
      <w:r w:rsidR="00A974EA">
        <w:rPr>
          <w:rFonts w:hint="eastAsia"/>
        </w:rPr>
        <w:t>後標售之正常</w:t>
      </w:r>
      <w:r w:rsidR="00A974EA" w:rsidRPr="00C655F5">
        <w:rPr>
          <w:rFonts w:hint="eastAsia"/>
        </w:rPr>
        <w:t>程序規範失去意義</w:t>
      </w:r>
      <w:r w:rsidRPr="00E32048">
        <w:rPr>
          <w:rFonts w:hint="eastAsia"/>
        </w:rPr>
        <w:t>。</w:t>
      </w:r>
      <w:bookmarkEnd w:id="37"/>
      <w:r w:rsidR="00F66F25" w:rsidRPr="00C655F5">
        <w:rPr>
          <w:rFonts w:hint="eastAsia"/>
          <w:bCs w:val="0"/>
        </w:rPr>
        <w:t>內政部於系爭計畫之都市計畫變更案通過後尚未徵收前，</w:t>
      </w:r>
      <w:r w:rsidR="00F66F25" w:rsidRPr="00C655F5">
        <w:rPr>
          <w:rFonts w:hint="eastAsia"/>
        </w:rPr>
        <w:t>即</w:t>
      </w:r>
      <w:r w:rsidR="00F66F25" w:rsidRPr="00C655F5">
        <w:rPr>
          <w:rFonts w:hint="eastAsia"/>
          <w:bCs w:val="0"/>
        </w:rPr>
        <w:t>預為標售</w:t>
      </w:r>
      <w:r w:rsidR="00F66F25" w:rsidRPr="00C655F5">
        <w:rPr>
          <w:rFonts w:hint="eastAsia"/>
        </w:rPr>
        <w:t>計畫區內「</w:t>
      </w:r>
      <w:r w:rsidR="00F66F25" w:rsidRPr="00C655F5">
        <w:rPr>
          <w:rFonts w:hint="eastAsia"/>
          <w:bCs w:val="0"/>
        </w:rPr>
        <w:t>產業專用區</w:t>
      </w:r>
      <w:r w:rsidR="00F66F25" w:rsidRPr="00C655F5">
        <w:rPr>
          <w:rFonts w:hint="eastAsia"/>
        </w:rPr>
        <w:t>」</w:t>
      </w:r>
      <w:r w:rsidR="00F66F25" w:rsidRPr="00C655F5">
        <w:rPr>
          <w:rFonts w:hint="eastAsia"/>
          <w:bCs w:val="0"/>
        </w:rPr>
        <w:t>與「合宜住宅」用地，並無法令依據，實有違先徵收後標售之正常程序，引發民怨，也有違憲法保障人民基本權利之虞，核有違失</w:t>
      </w:r>
      <w:r w:rsidR="00F66F25" w:rsidRPr="00C655F5">
        <w:rPr>
          <w:rFonts w:hint="eastAsia"/>
        </w:rPr>
        <w:t>。</w:t>
      </w:r>
      <w:r w:rsidR="00C55463">
        <w:rPr>
          <w:rFonts w:hint="eastAsia"/>
        </w:rPr>
        <w:t>爰依監察法第24條提案糾正</w:t>
      </w:r>
      <w:bookmarkEnd w:id="38"/>
      <w:r w:rsidR="00730A89" w:rsidRPr="00F33C66">
        <w:rPr>
          <w:rFonts w:hint="eastAsia"/>
          <w:color w:val="000000"/>
        </w:rPr>
        <w:t>。</w:t>
      </w:r>
    </w:p>
    <w:p w:rsidR="00A74F87" w:rsidRDefault="00A74F87" w:rsidP="00F515E9">
      <w:pPr>
        <w:pStyle w:val="a9"/>
      </w:pPr>
      <w:bookmarkStart w:id="39" w:name="_Toc524895649"/>
      <w:bookmarkStart w:id="40" w:name="_Toc524896195"/>
      <w:bookmarkStart w:id="41" w:name="_Toc524896225"/>
      <w:bookmarkEnd w:id="39"/>
      <w:bookmarkEnd w:id="40"/>
      <w:bookmarkEnd w:id="41"/>
    </w:p>
    <w:sectPr w:rsidR="00A74F87" w:rsidSect="00EC3291">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5D3" w:rsidRDefault="00FE45D3">
      <w:r>
        <w:separator/>
      </w:r>
    </w:p>
  </w:endnote>
  <w:endnote w:type="continuationSeparator" w:id="0">
    <w:p w:rsidR="00FE45D3" w:rsidRDefault="00FE45D3">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1F6" w:rsidRDefault="00462767">
    <w:pPr>
      <w:framePr w:wrap="around" w:vAnchor="text" w:hAnchor="margin" w:xAlign="center" w:y="1"/>
      <w:ind w:left="640" w:firstLine="400"/>
      <w:textDirection w:val="btLr"/>
      <w:rPr>
        <w:rStyle w:val="a5"/>
      </w:rPr>
    </w:pPr>
    <w:r>
      <w:rPr>
        <w:rStyle w:val="a5"/>
      </w:rPr>
      <w:fldChar w:fldCharType="begin"/>
    </w:r>
    <w:r w:rsidR="00BE01F6">
      <w:rPr>
        <w:rStyle w:val="a5"/>
      </w:rPr>
      <w:instrText xml:space="preserve">PAGE  </w:instrText>
    </w:r>
    <w:r>
      <w:rPr>
        <w:rStyle w:val="a5"/>
      </w:rPr>
      <w:fldChar w:fldCharType="separate"/>
    </w:r>
    <w:r w:rsidR="00BE01F6">
      <w:rPr>
        <w:rStyle w:val="a5"/>
        <w:noProof/>
      </w:rPr>
      <w:t>3</w:t>
    </w:r>
    <w:r>
      <w:rPr>
        <w:rStyle w:val="a5"/>
      </w:rPr>
      <w:fldChar w:fldCharType="end"/>
    </w:r>
  </w:p>
  <w:p w:rsidR="00BE01F6" w:rsidRDefault="00BE01F6">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1F6" w:rsidRDefault="00462767">
    <w:pPr>
      <w:pStyle w:val="a8"/>
      <w:framePr w:wrap="around" w:vAnchor="text" w:hAnchor="margin" w:xAlign="center" w:y="1"/>
      <w:rPr>
        <w:rStyle w:val="a5"/>
        <w:sz w:val="24"/>
      </w:rPr>
    </w:pPr>
    <w:r>
      <w:rPr>
        <w:rStyle w:val="a5"/>
        <w:sz w:val="24"/>
      </w:rPr>
      <w:fldChar w:fldCharType="begin"/>
    </w:r>
    <w:r w:rsidR="00BE01F6">
      <w:rPr>
        <w:rStyle w:val="a5"/>
        <w:sz w:val="24"/>
      </w:rPr>
      <w:instrText xml:space="preserve">PAGE  </w:instrText>
    </w:r>
    <w:r>
      <w:rPr>
        <w:rStyle w:val="a5"/>
        <w:sz w:val="24"/>
      </w:rPr>
      <w:fldChar w:fldCharType="separate"/>
    </w:r>
    <w:r w:rsidR="00BD1C8D">
      <w:rPr>
        <w:rStyle w:val="a5"/>
        <w:noProof/>
        <w:sz w:val="24"/>
      </w:rPr>
      <w:t>5</w:t>
    </w:r>
    <w:r>
      <w:rPr>
        <w:rStyle w:val="a5"/>
        <w:sz w:val="24"/>
      </w:rPr>
      <w:fldChar w:fldCharType="end"/>
    </w:r>
  </w:p>
  <w:p w:rsidR="00BE01F6" w:rsidRDefault="00BE01F6">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5D3" w:rsidRDefault="00FE45D3">
      <w:r>
        <w:separator/>
      </w:r>
    </w:p>
  </w:footnote>
  <w:footnote w:type="continuationSeparator" w:id="0">
    <w:p w:rsidR="00FE45D3" w:rsidRDefault="00FE4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D4184"/>
    <w:rsid w:val="00004894"/>
    <w:rsid w:val="0001772D"/>
    <w:rsid w:val="00081C97"/>
    <w:rsid w:val="000B71A6"/>
    <w:rsid w:val="000F19EF"/>
    <w:rsid w:val="00117247"/>
    <w:rsid w:val="001423CB"/>
    <w:rsid w:val="00175BC0"/>
    <w:rsid w:val="00180A7C"/>
    <w:rsid w:val="00187505"/>
    <w:rsid w:val="001B5523"/>
    <w:rsid w:val="001F14DC"/>
    <w:rsid w:val="00275EC3"/>
    <w:rsid w:val="002A57FD"/>
    <w:rsid w:val="00310437"/>
    <w:rsid w:val="00367663"/>
    <w:rsid w:val="00383C57"/>
    <w:rsid w:val="003D4184"/>
    <w:rsid w:val="00451E6D"/>
    <w:rsid w:val="00462767"/>
    <w:rsid w:val="004A1F08"/>
    <w:rsid w:val="004C78EF"/>
    <w:rsid w:val="004F2107"/>
    <w:rsid w:val="004F51A4"/>
    <w:rsid w:val="00505A73"/>
    <w:rsid w:val="005319AF"/>
    <w:rsid w:val="00543181"/>
    <w:rsid w:val="005A080E"/>
    <w:rsid w:val="005B1BB8"/>
    <w:rsid w:val="005D198E"/>
    <w:rsid w:val="005F2B5E"/>
    <w:rsid w:val="00602B19"/>
    <w:rsid w:val="00614DAD"/>
    <w:rsid w:val="006472F4"/>
    <w:rsid w:val="0065660E"/>
    <w:rsid w:val="006619B8"/>
    <w:rsid w:val="00685FE2"/>
    <w:rsid w:val="006E178C"/>
    <w:rsid w:val="006E3C38"/>
    <w:rsid w:val="00700855"/>
    <w:rsid w:val="007070D9"/>
    <w:rsid w:val="00730A89"/>
    <w:rsid w:val="00750A56"/>
    <w:rsid w:val="00822E6F"/>
    <w:rsid w:val="00847EDF"/>
    <w:rsid w:val="00867058"/>
    <w:rsid w:val="00896C2A"/>
    <w:rsid w:val="008A2DAB"/>
    <w:rsid w:val="008B6E1F"/>
    <w:rsid w:val="008C7A56"/>
    <w:rsid w:val="00907A7D"/>
    <w:rsid w:val="009142C1"/>
    <w:rsid w:val="0092689E"/>
    <w:rsid w:val="00930652"/>
    <w:rsid w:val="00956EFD"/>
    <w:rsid w:val="0096472F"/>
    <w:rsid w:val="0098335E"/>
    <w:rsid w:val="009B1D1B"/>
    <w:rsid w:val="00A149D2"/>
    <w:rsid w:val="00A317A3"/>
    <w:rsid w:val="00A45AEB"/>
    <w:rsid w:val="00A74F87"/>
    <w:rsid w:val="00A77FA1"/>
    <w:rsid w:val="00A9224B"/>
    <w:rsid w:val="00A974EA"/>
    <w:rsid w:val="00AA3881"/>
    <w:rsid w:val="00AC3F1C"/>
    <w:rsid w:val="00AF237A"/>
    <w:rsid w:val="00B17216"/>
    <w:rsid w:val="00B44DB3"/>
    <w:rsid w:val="00B5040B"/>
    <w:rsid w:val="00B60BFF"/>
    <w:rsid w:val="00BA6D28"/>
    <w:rsid w:val="00BB72AA"/>
    <w:rsid w:val="00BD1C8D"/>
    <w:rsid w:val="00BE01F6"/>
    <w:rsid w:val="00C3308E"/>
    <w:rsid w:val="00C5039B"/>
    <w:rsid w:val="00C55463"/>
    <w:rsid w:val="00C83D74"/>
    <w:rsid w:val="00CA535E"/>
    <w:rsid w:val="00D04E9B"/>
    <w:rsid w:val="00D100CB"/>
    <w:rsid w:val="00D932A1"/>
    <w:rsid w:val="00D967BB"/>
    <w:rsid w:val="00DB102E"/>
    <w:rsid w:val="00DD73B4"/>
    <w:rsid w:val="00E32048"/>
    <w:rsid w:val="00E804AB"/>
    <w:rsid w:val="00EB2DE0"/>
    <w:rsid w:val="00EC24C5"/>
    <w:rsid w:val="00EC3291"/>
    <w:rsid w:val="00EC3467"/>
    <w:rsid w:val="00F0710A"/>
    <w:rsid w:val="00F21C17"/>
    <w:rsid w:val="00F33C66"/>
    <w:rsid w:val="00F515E9"/>
    <w:rsid w:val="00F66F25"/>
    <w:rsid w:val="00F85829"/>
    <w:rsid w:val="00FD19A6"/>
    <w:rsid w:val="00FD5CBD"/>
    <w:rsid w:val="00FE45D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291"/>
    <w:pPr>
      <w:widowControl w:val="0"/>
    </w:pPr>
    <w:rPr>
      <w:rFonts w:eastAsia="標楷體"/>
      <w:kern w:val="2"/>
      <w:sz w:val="32"/>
    </w:rPr>
  </w:style>
  <w:style w:type="paragraph" w:styleId="1">
    <w:name w:val="heading 1"/>
    <w:basedOn w:val="a"/>
    <w:qFormat/>
    <w:rsid w:val="00EC3291"/>
    <w:pPr>
      <w:numPr>
        <w:numId w:val="1"/>
      </w:numPr>
      <w:kinsoku w:val="0"/>
      <w:ind w:left="800" w:hangingChars="800" w:hanging="800"/>
      <w:jc w:val="both"/>
      <w:outlineLvl w:val="0"/>
    </w:pPr>
    <w:rPr>
      <w:rFonts w:ascii="標楷體" w:hAnsi="Arial"/>
      <w:bCs/>
      <w:kern w:val="0"/>
      <w:szCs w:val="52"/>
    </w:rPr>
  </w:style>
  <w:style w:type="paragraph" w:styleId="2">
    <w:name w:val="heading 2"/>
    <w:aliases w:val="標題110/111"/>
    <w:basedOn w:val="a"/>
    <w:qFormat/>
    <w:rsid w:val="00EC3291"/>
    <w:pPr>
      <w:numPr>
        <w:ilvl w:val="1"/>
        <w:numId w:val="1"/>
      </w:numPr>
      <w:jc w:val="both"/>
      <w:outlineLvl w:val="1"/>
    </w:pPr>
    <w:rPr>
      <w:rFonts w:ascii="標楷體" w:hAnsi="Arial"/>
      <w:bCs/>
      <w:kern w:val="0"/>
      <w:szCs w:val="48"/>
    </w:rPr>
  </w:style>
  <w:style w:type="paragraph" w:styleId="3">
    <w:name w:val="heading 3"/>
    <w:basedOn w:val="a"/>
    <w:qFormat/>
    <w:rsid w:val="00EC3291"/>
    <w:pPr>
      <w:numPr>
        <w:ilvl w:val="2"/>
        <w:numId w:val="1"/>
      </w:numPr>
      <w:jc w:val="both"/>
      <w:outlineLvl w:val="2"/>
    </w:pPr>
    <w:rPr>
      <w:rFonts w:ascii="標楷體" w:hAnsi="Arial"/>
      <w:bCs/>
      <w:kern w:val="0"/>
      <w:szCs w:val="36"/>
    </w:rPr>
  </w:style>
  <w:style w:type="paragraph" w:styleId="4">
    <w:name w:val="heading 4"/>
    <w:aliases w:val="表格"/>
    <w:basedOn w:val="a"/>
    <w:qFormat/>
    <w:rsid w:val="00EC3291"/>
    <w:pPr>
      <w:numPr>
        <w:ilvl w:val="3"/>
        <w:numId w:val="1"/>
      </w:numPr>
      <w:jc w:val="both"/>
      <w:outlineLvl w:val="3"/>
    </w:pPr>
    <w:rPr>
      <w:rFonts w:ascii="標楷體" w:hAnsi="Arial"/>
      <w:szCs w:val="36"/>
    </w:rPr>
  </w:style>
  <w:style w:type="paragraph" w:styleId="5">
    <w:name w:val="heading 5"/>
    <w:basedOn w:val="a"/>
    <w:qFormat/>
    <w:rsid w:val="00EC3291"/>
    <w:pPr>
      <w:numPr>
        <w:ilvl w:val="4"/>
        <w:numId w:val="1"/>
      </w:numPr>
      <w:jc w:val="both"/>
      <w:outlineLvl w:val="4"/>
    </w:pPr>
    <w:rPr>
      <w:rFonts w:ascii="標楷體" w:hAnsi="Arial"/>
      <w:bCs/>
      <w:szCs w:val="36"/>
    </w:rPr>
  </w:style>
  <w:style w:type="paragraph" w:styleId="6">
    <w:name w:val="heading 6"/>
    <w:basedOn w:val="a"/>
    <w:qFormat/>
    <w:rsid w:val="00EC3291"/>
    <w:pPr>
      <w:numPr>
        <w:ilvl w:val="5"/>
        <w:numId w:val="1"/>
      </w:numPr>
      <w:tabs>
        <w:tab w:val="left" w:pos="2094"/>
      </w:tabs>
      <w:jc w:val="both"/>
      <w:outlineLvl w:val="5"/>
    </w:pPr>
    <w:rPr>
      <w:rFonts w:ascii="標楷體" w:hAnsi="Arial"/>
      <w:szCs w:val="36"/>
    </w:rPr>
  </w:style>
  <w:style w:type="paragraph" w:styleId="7">
    <w:name w:val="heading 7"/>
    <w:basedOn w:val="a"/>
    <w:qFormat/>
    <w:rsid w:val="00EC3291"/>
    <w:pPr>
      <w:numPr>
        <w:ilvl w:val="6"/>
        <w:numId w:val="1"/>
      </w:numPr>
      <w:jc w:val="both"/>
      <w:outlineLvl w:val="6"/>
    </w:pPr>
    <w:rPr>
      <w:rFonts w:ascii="標楷體" w:hAnsi="Arial"/>
      <w:bCs/>
      <w:szCs w:val="36"/>
    </w:rPr>
  </w:style>
  <w:style w:type="paragraph" w:styleId="8">
    <w:name w:val="heading 8"/>
    <w:basedOn w:val="a"/>
    <w:qFormat/>
    <w:rsid w:val="00EC3291"/>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EC3291"/>
    <w:pPr>
      <w:ind w:leftChars="400" w:left="400"/>
    </w:pPr>
  </w:style>
  <w:style w:type="paragraph" w:customStyle="1" w:styleId="20">
    <w:name w:val="段落樣式2"/>
    <w:basedOn w:val="a"/>
    <w:rsid w:val="00EC3291"/>
    <w:pPr>
      <w:tabs>
        <w:tab w:val="left" w:pos="567"/>
      </w:tabs>
      <w:ind w:leftChars="300" w:left="300" w:firstLineChars="200" w:firstLine="200"/>
      <w:jc w:val="both"/>
    </w:pPr>
    <w:rPr>
      <w:rFonts w:ascii="標楷體"/>
      <w:kern w:val="0"/>
    </w:rPr>
  </w:style>
  <w:style w:type="paragraph" w:customStyle="1" w:styleId="40">
    <w:name w:val="段落樣式4"/>
    <w:basedOn w:val="30"/>
    <w:rsid w:val="00EC3291"/>
    <w:pPr>
      <w:ind w:leftChars="500" w:left="500"/>
    </w:pPr>
  </w:style>
  <w:style w:type="paragraph" w:customStyle="1" w:styleId="50">
    <w:name w:val="段落樣式5"/>
    <w:basedOn w:val="40"/>
    <w:rsid w:val="00EC3291"/>
    <w:pPr>
      <w:ind w:leftChars="600" w:left="600"/>
    </w:pPr>
  </w:style>
  <w:style w:type="paragraph" w:customStyle="1" w:styleId="60">
    <w:name w:val="段落樣式6"/>
    <w:basedOn w:val="50"/>
    <w:rsid w:val="00EC3291"/>
    <w:pPr>
      <w:ind w:leftChars="700" w:left="700"/>
    </w:pPr>
  </w:style>
  <w:style w:type="paragraph" w:customStyle="1" w:styleId="70">
    <w:name w:val="段落樣式7"/>
    <w:basedOn w:val="60"/>
    <w:rsid w:val="00EC3291"/>
  </w:style>
  <w:style w:type="paragraph" w:customStyle="1" w:styleId="80">
    <w:name w:val="段落樣式8"/>
    <w:basedOn w:val="70"/>
    <w:rsid w:val="00EC3291"/>
    <w:pPr>
      <w:ind w:leftChars="800" w:left="800"/>
    </w:pPr>
  </w:style>
  <w:style w:type="paragraph" w:styleId="a3">
    <w:name w:val="Signature"/>
    <w:basedOn w:val="a"/>
    <w:semiHidden/>
    <w:rsid w:val="00EC3291"/>
    <w:pPr>
      <w:spacing w:before="720" w:after="720"/>
      <w:ind w:left="7371"/>
    </w:pPr>
    <w:rPr>
      <w:rFonts w:ascii="標楷體"/>
      <w:b/>
      <w:snapToGrid w:val="0"/>
      <w:spacing w:val="10"/>
      <w:sz w:val="36"/>
    </w:rPr>
  </w:style>
  <w:style w:type="paragraph" w:styleId="a4">
    <w:name w:val="endnote text"/>
    <w:basedOn w:val="a"/>
    <w:semiHidden/>
    <w:rsid w:val="00EC3291"/>
    <w:pPr>
      <w:spacing w:before="240"/>
      <w:ind w:left="1021" w:hanging="1021"/>
      <w:jc w:val="both"/>
    </w:pPr>
    <w:rPr>
      <w:rFonts w:ascii="標楷體"/>
      <w:snapToGrid w:val="0"/>
      <w:spacing w:val="10"/>
    </w:rPr>
  </w:style>
  <w:style w:type="character" w:styleId="a5">
    <w:name w:val="page number"/>
    <w:basedOn w:val="a0"/>
    <w:semiHidden/>
    <w:rsid w:val="00EC3291"/>
    <w:rPr>
      <w:rFonts w:ascii="標楷體" w:eastAsia="標楷體"/>
      <w:sz w:val="20"/>
    </w:rPr>
  </w:style>
  <w:style w:type="paragraph" w:styleId="10">
    <w:name w:val="toc 1"/>
    <w:basedOn w:val="a"/>
    <w:next w:val="a"/>
    <w:semiHidden/>
    <w:rsid w:val="00EC3291"/>
    <w:pPr>
      <w:ind w:left="200" w:hangingChars="200" w:hanging="200"/>
      <w:jc w:val="both"/>
    </w:pPr>
    <w:rPr>
      <w:rFonts w:ascii="標楷體"/>
    </w:rPr>
  </w:style>
  <w:style w:type="paragraph" w:styleId="21">
    <w:name w:val="toc 2"/>
    <w:basedOn w:val="a"/>
    <w:next w:val="a"/>
    <w:autoRedefine/>
    <w:semiHidden/>
    <w:rsid w:val="00EC3291"/>
    <w:pPr>
      <w:ind w:leftChars="100" w:left="300" w:hangingChars="200" w:hanging="200"/>
      <w:jc w:val="both"/>
    </w:pPr>
    <w:rPr>
      <w:rFonts w:ascii="標楷體"/>
    </w:rPr>
  </w:style>
  <w:style w:type="paragraph" w:styleId="31">
    <w:name w:val="toc 3"/>
    <w:basedOn w:val="a"/>
    <w:next w:val="a"/>
    <w:semiHidden/>
    <w:rsid w:val="00EC3291"/>
    <w:pPr>
      <w:ind w:leftChars="200" w:left="400" w:hangingChars="200" w:hanging="200"/>
      <w:jc w:val="both"/>
    </w:pPr>
    <w:rPr>
      <w:rFonts w:ascii="標楷體"/>
      <w:noProof/>
    </w:rPr>
  </w:style>
  <w:style w:type="paragraph" w:styleId="41">
    <w:name w:val="toc 4"/>
    <w:basedOn w:val="a"/>
    <w:next w:val="a"/>
    <w:semiHidden/>
    <w:rsid w:val="00EC3291"/>
    <w:pPr>
      <w:kinsoku w:val="0"/>
      <w:ind w:leftChars="300" w:left="500" w:hangingChars="200" w:hanging="200"/>
      <w:jc w:val="both"/>
    </w:pPr>
    <w:rPr>
      <w:rFonts w:ascii="標楷體"/>
    </w:rPr>
  </w:style>
  <w:style w:type="paragraph" w:styleId="51">
    <w:name w:val="toc 5"/>
    <w:basedOn w:val="a"/>
    <w:next w:val="a"/>
    <w:autoRedefine/>
    <w:semiHidden/>
    <w:rsid w:val="00EC3291"/>
    <w:pPr>
      <w:kinsoku w:val="0"/>
      <w:ind w:leftChars="400" w:left="600" w:hangingChars="200" w:hanging="200"/>
      <w:jc w:val="both"/>
    </w:pPr>
    <w:rPr>
      <w:rFonts w:ascii="標楷體"/>
    </w:rPr>
  </w:style>
  <w:style w:type="paragraph" w:styleId="61">
    <w:name w:val="toc 6"/>
    <w:basedOn w:val="a"/>
    <w:next w:val="a"/>
    <w:autoRedefine/>
    <w:semiHidden/>
    <w:rsid w:val="00EC3291"/>
    <w:pPr>
      <w:ind w:leftChars="500" w:left="700" w:hangingChars="200" w:hanging="200"/>
    </w:pPr>
    <w:rPr>
      <w:rFonts w:ascii="標楷體"/>
    </w:rPr>
  </w:style>
  <w:style w:type="paragraph" w:styleId="71">
    <w:name w:val="toc 7"/>
    <w:basedOn w:val="a"/>
    <w:next w:val="a"/>
    <w:autoRedefine/>
    <w:semiHidden/>
    <w:rsid w:val="00EC3291"/>
    <w:pPr>
      <w:ind w:leftChars="600" w:left="700" w:hangingChars="100" w:hanging="100"/>
    </w:pPr>
    <w:rPr>
      <w:rFonts w:ascii="標楷體"/>
    </w:rPr>
  </w:style>
  <w:style w:type="paragraph" w:styleId="81">
    <w:name w:val="toc 8"/>
    <w:basedOn w:val="a"/>
    <w:next w:val="a"/>
    <w:autoRedefine/>
    <w:semiHidden/>
    <w:rsid w:val="00EC3291"/>
    <w:pPr>
      <w:ind w:leftChars="700" w:left="2792" w:hangingChars="100" w:hanging="349"/>
    </w:pPr>
    <w:rPr>
      <w:rFonts w:ascii="標楷體"/>
    </w:rPr>
  </w:style>
  <w:style w:type="paragraph" w:styleId="9">
    <w:name w:val="toc 9"/>
    <w:basedOn w:val="a"/>
    <w:next w:val="a"/>
    <w:autoRedefine/>
    <w:semiHidden/>
    <w:rsid w:val="00EC3291"/>
    <w:pPr>
      <w:ind w:leftChars="1600" w:left="3840"/>
    </w:pPr>
  </w:style>
  <w:style w:type="character" w:styleId="a6">
    <w:name w:val="Hyperlink"/>
    <w:basedOn w:val="a0"/>
    <w:semiHidden/>
    <w:rsid w:val="00EC3291"/>
    <w:rPr>
      <w:color w:val="0000FF"/>
      <w:u w:val="single"/>
    </w:rPr>
  </w:style>
  <w:style w:type="paragraph" w:customStyle="1" w:styleId="11">
    <w:name w:val="段落樣式1"/>
    <w:basedOn w:val="a"/>
    <w:rsid w:val="00EC3291"/>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EC3291"/>
    <w:pPr>
      <w:ind w:leftChars="200" w:left="200" w:firstLineChars="0" w:firstLine="0"/>
    </w:pPr>
  </w:style>
  <w:style w:type="paragraph" w:styleId="a7">
    <w:name w:val="header"/>
    <w:basedOn w:val="a"/>
    <w:semiHidden/>
    <w:rsid w:val="00EC3291"/>
    <w:pPr>
      <w:tabs>
        <w:tab w:val="center" w:pos="4153"/>
        <w:tab w:val="right" w:pos="8306"/>
      </w:tabs>
      <w:snapToGrid w:val="0"/>
    </w:pPr>
    <w:rPr>
      <w:sz w:val="20"/>
    </w:rPr>
  </w:style>
  <w:style w:type="paragraph" w:styleId="a8">
    <w:name w:val="footer"/>
    <w:basedOn w:val="a"/>
    <w:semiHidden/>
    <w:rsid w:val="00EC3291"/>
    <w:pPr>
      <w:tabs>
        <w:tab w:val="center" w:pos="4153"/>
        <w:tab w:val="right" w:pos="8306"/>
      </w:tabs>
      <w:snapToGrid w:val="0"/>
    </w:pPr>
    <w:rPr>
      <w:sz w:val="20"/>
    </w:rPr>
  </w:style>
  <w:style w:type="paragraph" w:customStyle="1" w:styleId="a9">
    <w:name w:val="簽名日期"/>
    <w:basedOn w:val="a"/>
    <w:rsid w:val="00EC3291"/>
    <w:pPr>
      <w:kinsoku w:val="0"/>
      <w:jc w:val="distribute"/>
    </w:pPr>
    <w:rPr>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huang\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80794-AF48-4BC8-9823-64FCCA202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Template>
  <TotalTime>1</TotalTime>
  <Pages>5</Pages>
  <Words>426</Words>
  <Characters>2431</Characters>
  <Application>Microsoft Office Word</Application>
  <DocSecurity>0</DocSecurity>
  <Lines>20</Lines>
  <Paragraphs>5</Paragraphs>
  <ScaleCrop>false</ScaleCrop>
  <Company>cy</Company>
  <LinksUpToDate>false</LinksUpToDate>
  <CharactersWithSpaces>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2</cp:revision>
  <cp:lastPrinted>2011-01-04T02:12:00Z</cp:lastPrinted>
  <dcterms:created xsi:type="dcterms:W3CDTF">2012-07-06T02:52:00Z</dcterms:created>
  <dcterms:modified xsi:type="dcterms:W3CDTF">2012-07-06T02:52:00Z</dcterms:modified>
</cp:coreProperties>
</file>